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D" w:rsidRPr="00037187" w:rsidRDefault="004A380D" w:rsidP="004A380D">
      <w:pPr>
        <w:pStyle w:val="Ingetavstnd"/>
        <w:rPr>
          <w:b/>
          <w:sz w:val="24"/>
          <w:szCs w:val="24"/>
          <w:lang w:val="sv-SE"/>
        </w:rPr>
      </w:pPr>
      <w:r w:rsidRPr="00037187">
        <w:rPr>
          <w:b/>
          <w:sz w:val="24"/>
          <w:szCs w:val="24"/>
          <w:lang w:val="sv-SE"/>
        </w:rPr>
        <w:t>HR-processer</w:t>
      </w:r>
    </w:p>
    <w:p w:rsidR="004A380D" w:rsidRPr="00037187" w:rsidRDefault="004A380D" w:rsidP="004A380D">
      <w:pPr>
        <w:pStyle w:val="Ingetavstnd"/>
        <w:rPr>
          <w:sz w:val="24"/>
          <w:szCs w:val="24"/>
          <w:lang w:val="sv-SE"/>
        </w:rPr>
      </w:pPr>
    </w:p>
    <w:p w:rsidR="00852490" w:rsidRDefault="004A380D" w:rsidP="004A380D">
      <w:pPr>
        <w:pStyle w:val="Ingetavstnd"/>
        <w:rPr>
          <w:sz w:val="24"/>
          <w:szCs w:val="24"/>
          <w:lang w:val="sv-SE"/>
        </w:rPr>
      </w:pPr>
      <w:r w:rsidRPr="004A380D">
        <w:rPr>
          <w:sz w:val="24"/>
          <w:szCs w:val="24"/>
          <w:lang w:val="sv-SE"/>
        </w:rPr>
        <w:t xml:space="preserve">HR-avdelningen jobbar kontinuerligt för att tillhandahålla </w:t>
      </w:r>
      <w:r w:rsidR="00852490">
        <w:rPr>
          <w:sz w:val="24"/>
          <w:szCs w:val="24"/>
          <w:lang w:val="sv-SE"/>
        </w:rPr>
        <w:t xml:space="preserve">effektiva </w:t>
      </w:r>
      <w:r w:rsidRPr="004A380D">
        <w:rPr>
          <w:sz w:val="24"/>
          <w:szCs w:val="24"/>
          <w:lang w:val="sv-SE"/>
        </w:rPr>
        <w:t xml:space="preserve">processer och rutiner inom HR-området </w:t>
      </w:r>
      <w:r w:rsidR="00852490">
        <w:rPr>
          <w:sz w:val="24"/>
          <w:szCs w:val="24"/>
          <w:lang w:val="sv-SE"/>
        </w:rPr>
        <w:t>i</w:t>
      </w:r>
      <w:r w:rsidRPr="004A380D">
        <w:rPr>
          <w:sz w:val="24"/>
          <w:szCs w:val="24"/>
          <w:lang w:val="sv-SE"/>
        </w:rPr>
        <w:t xml:space="preserve"> samarbete med den verksamhetsnära HR-funktionen.</w:t>
      </w:r>
    </w:p>
    <w:p w:rsidR="00852490" w:rsidRDefault="00852490" w:rsidP="004A380D">
      <w:pPr>
        <w:pStyle w:val="Ingetavstnd"/>
        <w:rPr>
          <w:sz w:val="24"/>
          <w:szCs w:val="24"/>
          <w:lang w:val="sv-SE"/>
        </w:rPr>
      </w:pPr>
    </w:p>
    <w:p w:rsidR="004A380D" w:rsidRDefault="004A380D" w:rsidP="004A380D">
      <w:pPr>
        <w:pStyle w:val="Ingetavstnd"/>
        <w:rPr>
          <w:sz w:val="24"/>
          <w:szCs w:val="24"/>
          <w:lang w:val="sv-SE"/>
        </w:rPr>
      </w:pPr>
      <w:r w:rsidRPr="004A380D">
        <w:rPr>
          <w:sz w:val="24"/>
          <w:szCs w:val="24"/>
          <w:lang w:val="sv-SE"/>
        </w:rPr>
        <w:t xml:space="preserve">Det finns ett antal av HR-direktören fastställda universitetsgemensamma HR-processer. </w:t>
      </w:r>
      <w:r w:rsidR="00852490">
        <w:rPr>
          <w:sz w:val="24"/>
          <w:szCs w:val="24"/>
          <w:lang w:val="sv-SE"/>
        </w:rPr>
        <w:t>Fastställda</w:t>
      </w:r>
      <w:r>
        <w:rPr>
          <w:sz w:val="24"/>
          <w:szCs w:val="24"/>
          <w:lang w:val="sv-SE"/>
        </w:rPr>
        <w:t xml:space="preserve"> HR-processer skapar förutsättningar för </w:t>
      </w:r>
      <w:r w:rsidR="00852490">
        <w:rPr>
          <w:sz w:val="24"/>
          <w:szCs w:val="24"/>
          <w:lang w:val="sv-SE"/>
        </w:rPr>
        <w:t xml:space="preserve">ett </w:t>
      </w:r>
      <w:r w:rsidRPr="004A380D">
        <w:rPr>
          <w:sz w:val="24"/>
          <w:szCs w:val="24"/>
          <w:lang w:val="sv-SE"/>
        </w:rPr>
        <w:t xml:space="preserve">harmoniserat verksamhetsstöd </w:t>
      </w:r>
      <w:r w:rsidR="00852490">
        <w:rPr>
          <w:sz w:val="24"/>
          <w:szCs w:val="24"/>
          <w:lang w:val="sv-SE"/>
        </w:rPr>
        <w:t xml:space="preserve">med jämn kvalitet, </w:t>
      </w:r>
      <w:r w:rsidRPr="004A380D">
        <w:rPr>
          <w:sz w:val="24"/>
          <w:szCs w:val="24"/>
          <w:lang w:val="sv-SE"/>
        </w:rPr>
        <w:t xml:space="preserve">ett proaktivt arbetssätt inom HR funktionen där vi arbetar med utveckling </w:t>
      </w:r>
      <w:r w:rsidR="00852490">
        <w:rPr>
          <w:sz w:val="24"/>
          <w:szCs w:val="24"/>
          <w:lang w:val="sv-SE"/>
        </w:rPr>
        <w:t>och kontinuerliga förbättringar, tydliga</w:t>
      </w:r>
      <w:r w:rsidRPr="004A380D">
        <w:rPr>
          <w:sz w:val="24"/>
          <w:szCs w:val="24"/>
          <w:lang w:val="sv-SE"/>
        </w:rPr>
        <w:t xml:space="preserve"> roller, ansvarsfördelning </w:t>
      </w:r>
      <w:r w:rsidR="00852490">
        <w:rPr>
          <w:sz w:val="24"/>
          <w:szCs w:val="24"/>
          <w:lang w:val="sv-SE"/>
        </w:rPr>
        <w:t xml:space="preserve">och gränssnitt samt </w:t>
      </w:r>
      <w:r w:rsidRPr="004A380D">
        <w:rPr>
          <w:sz w:val="24"/>
          <w:szCs w:val="24"/>
          <w:lang w:val="sv-SE"/>
        </w:rPr>
        <w:t>förbättrad samordning och helhetssyn</w:t>
      </w:r>
      <w:r w:rsidR="00852490">
        <w:rPr>
          <w:sz w:val="24"/>
          <w:szCs w:val="24"/>
          <w:lang w:val="sv-SE"/>
        </w:rPr>
        <w:t>.</w:t>
      </w:r>
      <w:r w:rsidR="00852490">
        <w:rPr>
          <w:sz w:val="24"/>
          <w:szCs w:val="24"/>
          <w:lang w:val="sv-SE"/>
        </w:rPr>
        <w:br/>
      </w:r>
    </w:p>
    <w:p w:rsidR="005816DB" w:rsidRDefault="005816DB" w:rsidP="005816DB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 fastställda HR-processerna används som stöd </w:t>
      </w:r>
      <w:r w:rsidRPr="00852490">
        <w:rPr>
          <w:sz w:val="24"/>
          <w:szCs w:val="24"/>
          <w:lang w:val="sv-SE"/>
        </w:rPr>
        <w:t xml:space="preserve">i arbetet med uppkomna </w:t>
      </w:r>
      <w:r>
        <w:rPr>
          <w:sz w:val="24"/>
          <w:szCs w:val="24"/>
          <w:lang w:val="sv-SE"/>
        </w:rPr>
        <w:t xml:space="preserve">HR-ärenden, </w:t>
      </w:r>
      <w:r w:rsidRPr="00852490">
        <w:rPr>
          <w:sz w:val="24"/>
          <w:szCs w:val="24"/>
          <w:lang w:val="sv-SE"/>
        </w:rPr>
        <w:t xml:space="preserve">fortsatt utveckling av </w:t>
      </w:r>
      <w:r>
        <w:rPr>
          <w:sz w:val="24"/>
          <w:szCs w:val="24"/>
          <w:lang w:val="sv-SE"/>
        </w:rPr>
        <w:t>HR-stöd</w:t>
      </w:r>
      <w:r w:rsidR="00F00017">
        <w:rPr>
          <w:sz w:val="24"/>
          <w:szCs w:val="24"/>
          <w:lang w:val="sv-SE"/>
        </w:rPr>
        <w:t>et</w:t>
      </w:r>
      <w:r>
        <w:rPr>
          <w:sz w:val="24"/>
          <w:szCs w:val="24"/>
          <w:lang w:val="sv-SE"/>
        </w:rPr>
        <w:t xml:space="preserve"> och gemensam uppföljning.</w:t>
      </w:r>
    </w:p>
    <w:p w:rsidR="005816DB" w:rsidRPr="00852490" w:rsidRDefault="005816DB" w:rsidP="004A380D">
      <w:pPr>
        <w:pStyle w:val="Ingetavstnd"/>
        <w:rPr>
          <w:sz w:val="24"/>
          <w:szCs w:val="24"/>
          <w:lang w:val="sv-SE"/>
        </w:rPr>
      </w:pPr>
    </w:p>
    <w:p w:rsidR="00852490" w:rsidRPr="00852490" w:rsidRDefault="00852490" w:rsidP="004A380D">
      <w:pPr>
        <w:pStyle w:val="Ingetavstnd"/>
        <w:rPr>
          <w:sz w:val="24"/>
          <w:szCs w:val="24"/>
          <w:lang w:val="sv-SE"/>
        </w:rPr>
      </w:pPr>
      <w:r w:rsidRPr="00852490">
        <w:rPr>
          <w:sz w:val="24"/>
          <w:szCs w:val="24"/>
          <w:lang w:val="sv-SE"/>
        </w:rPr>
        <w:t>Vid HR-avdelningen finns utsedda processledare med ett särskilt ansvar för förvaltning och utveckling av fastställda HR-processer inom ett huvudarbetsområde/del av ett huvudarbetsområde. Processledaren samlar också löpande in och dokumenterar synpunkter och ändringsförslag på fastställda HR-processer.</w:t>
      </w:r>
    </w:p>
    <w:p w:rsidR="004A380D" w:rsidRDefault="004A380D">
      <w:pPr>
        <w:pStyle w:val="Ingetavstnd"/>
        <w:rPr>
          <w:sz w:val="24"/>
          <w:szCs w:val="24"/>
          <w:lang w:val="sv-SE"/>
        </w:rPr>
      </w:pPr>
    </w:p>
    <w:p w:rsidR="008F7A0C" w:rsidRDefault="008F7A0C" w:rsidP="008F7A0C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Proces</w:t>
      </w:r>
      <w:r w:rsidR="00B73BD2">
        <w:rPr>
          <w:sz w:val="24"/>
          <w:szCs w:val="24"/>
          <w:lang w:val="sv-SE"/>
        </w:rPr>
        <w:t>sledare inom huvudarbetsområde k</w:t>
      </w:r>
      <w:r>
        <w:rPr>
          <w:sz w:val="24"/>
          <w:szCs w:val="24"/>
          <w:lang w:val="sv-SE"/>
        </w:rPr>
        <w:t xml:space="preserve">ompetensförsörjning är </w:t>
      </w:r>
      <w:hyperlink r:id="rId5" w:history="1">
        <w:r w:rsidRPr="00416F8B">
          <w:rPr>
            <w:rStyle w:val="Hyperlnk"/>
            <w:sz w:val="24"/>
            <w:szCs w:val="24"/>
            <w:lang w:val="sv-SE"/>
          </w:rPr>
          <w:t>asa.furberg@uadm.uu.se</w:t>
        </w:r>
      </w:hyperlink>
      <w:r w:rsidR="00B73BD2">
        <w:rPr>
          <w:sz w:val="24"/>
          <w:szCs w:val="24"/>
          <w:lang w:val="sv-SE"/>
        </w:rPr>
        <w:t>, h</w:t>
      </w:r>
      <w:r>
        <w:rPr>
          <w:sz w:val="24"/>
          <w:szCs w:val="24"/>
          <w:lang w:val="sv-SE"/>
        </w:rPr>
        <w:t xml:space="preserve">älsosamt arbetsliv </w:t>
      </w:r>
      <w:hyperlink r:id="rId6" w:history="1">
        <w:r w:rsidRPr="00416F8B">
          <w:rPr>
            <w:rStyle w:val="Hyperlnk"/>
            <w:sz w:val="24"/>
            <w:szCs w:val="24"/>
            <w:lang w:val="sv-SE"/>
          </w:rPr>
          <w:t>frida.hedlund@uadm.uu.se</w:t>
        </w:r>
      </w:hyperlink>
      <w:r w:rsidR="00B73BD2">
        <w:rPr>
          <w:sz w:val="24"/>
          <w:szCs w:val="24"/>
          <w:lang w:val="sv-SE"/>
        </w:rPr>
        <w:t>, a</w:t>
      </w:r>
      <w:r>
        <w:rPr>
          <w:sz w:val="24"/>
          <w:szCs w:val="24"/>
          <w:lang w:val="sv-SE"/>
        </w:rPr>
        <w:t xml:space="preserve">nställningsvillkor </w:t>
      </w:r>
      <w:hyperlink r:id="rId7" w:history="1">
        <w:r w:rsidRPr="00416F8B">
          <w:rPr>
            <w:rStyle w:val="Hyperlnk"/>
            <w:sz w:val="24"/>
            <w:szCs w:val="24"/>
            <w:lang w:val="sv-SE"/>
          </w:rPr>
          <w:t>cecilia.arnqvist@uadm.uu.se</w:t>
        </w:r>
      </w:hyperlink>
      <w:r w:rsidR="00B73BD2">
        <w:rPr>
          <w:sz w:val="24"/>
          <w:szCs w:val="24"/>
          <w:lang w:val="sv-SE"/>
        </w:rPr>
        <w:t xml:space="preserve"> och l</w:t>
      </w:r>
      <w:r>
        <w:rPr>
          <w:sz w:val="24"/>
          <w:szCs w:val="24"/>
          <w:lang w:val="sv-SE"/>
        </w:rPr>
        <w:t xml:space="preserve">önebildning </w:t>
      </w:r>
      <w:hyperlink r:id="rId8" w:history="1">
        <w:r w:rsidRPr="00416F8B">
          <w:rPr>
            <w:rStyle w:val="Hyperlnk"/>
            <w:sz w:val="24"/>
            <w:szCs w:val="24"/>
            <w:lang w:val="sv-SE"/>
          </w:rPr>
          <w:t>pia.holmqvist@uadm.uu.se</w:t>
        </w:r>
      </w:hyperlink>
      <w:r>
        <w:rPr>
          <w:sz w:val="24"/>
          <w:szCs w:val="24"/>
          <w:lang w:val="sv-SE"/>
        </w:rPr>
        <w:t>.</w:t>
      </w:r>
    </w:p>
    <w:p w:rsidR="008F7A0C" w:rsidRDefault="008F7A0C">
      <w:pPr>
        <w:pStyle w:val="Ingetavstnd"/>
        <w:rPr>
          <w:sz w:val="24"/>
          <w:szCs w:val="24"/>
          <w:lang w:val="sv-SE"/>
        </w:rPr>
      </w:pPr>
    </w:p>
    <w:p w:rsidR="00037187" w:rsidRDefault="00EA4591" w:rsidP="000F1E30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Ett antal av de f</w:t>
      </w:r>
      <w:r w:rsidR="00F00017">
        <w:rPr>
          <w:sz w:val="24"/>
          <w:szCs w:val="24"/>
          <w:lang w:val="sv-SE"/>
        </w:rPr>
        <w:t>astställda HR-processer</w:t>
      </w:r>
      <w:r>
        <w:rPr>
          <w:sz w:val="24"/>
          <w:szCs w:val="24"/>
          <w:lang w:val="sv-SE"/>
        </w:rPr>
        <w:t>na</w:t>
      </w:r>
      <w:r w:rsidR="00F00017">
        <w:rPr>
          <w:sz w:val="24"/>
          <w:szCs w:val="24"/>
          <w:lang w:val="sv-SE"/>
        </w:rPr>
        <w:t xml:space="preserve"> hittar du </w:t>
      </w:r>
      <w:r>
        <w:rPr>
          <w:sz w:val="24"/>
          <w:szCs w:val="24"/>
          <w:lang w:val="sv-SE"/>
        </w:rPr>
        <w:t xml:space="preserve">publicerade </w:t>
      </w:r>
      <w:r w:rsidR="00F00017">
        <w:rPr>
          <w:sz w:val="24"/>
          <w:szCs w:val="24"/>
          <w:lang w:val="sv-SE"/>
        </w:rPr>
        <w:t xml:space="preserve">på Medarbetarportalen. </w:t>
      </w:r>
      <w:r w:rsidR="000F1E30">
        <w:rPr>
          <w:sz w:val="24"/>
          <w:szCs w:val="24"/>
          <w:lang w:val="sv-SE"/>
        </w:rPr>
        <w:t xml:space="preserve">De HR-processer som är publicerade är de som kräver ett </w:t>
      </w:r>
      <w:r w:rsidR="007F5B74">
        <w:rPr>
          <w:sz w:val="24"/>
          <w:szCs w:val="24"/>
          <w:lang w:val="sv-SE"/>
        </w:rPr>
        <w:t xml:space="preserve">särskilt </w:t>
      </w:r>
      <w:r w:rsidR="000F1E30">
        <w:rPr>
          <w:sz w:val="24"/>
          <w:szCs w:val="24"/>
          <w:lang w:val="sv-SE"/>
        </w:rPr>
        <w:t>nära samarbete mellan H</w:t>
      </w:r>
      <w:r w:rsidR="00037187">
        <w:rPr>
          <w:sz w:val="24"/>
          <w:szCs w:val="24"/>
          <w:lang w:val="sv-SE"/>
        </w:rPr>
        <w:t>R-generalist och HR-specialist.</w:t>
      </w:r>
    </w:p>
    <w:p w:rsidR="00037187" w:rsidRDefault="00037187" w:rsidP="000F1E30">
      <w:pPr>
        <w:pStyle w:val="Ingetavstnd"/>
        <w:rPr>
          <w:sz w:val="24"/>
          <w:szCs w:val="24"/>
          <w:lang w:val="sv-SE"/>
        </w:rPr>
      </w:pPr>
    </w:p>
    <w:p w:rsidR="00B73BD2" w:rsidRDefault="00B73BD2" w:rsidP="000F1E30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HR-processen för</w:t>
      </w:r>
    </w:p>
    <w:p w:rsidR="007B06DF" w:rsidRPr="00037187" w:rsidRDefault="007B06DF" w:rsidP="000F1E30">
      <w:pPr>
        <w:pStyle w:val="Ingetavstnd"/>
        <w:rPr>
          <w:sz w:val="8"/>
          <w:szCs w:val="8"/>
          <w:lang w:val="sv-SE"/>
        </w:rPr>
      </w:pPr>
      <w:bookmarkStart w:id="0" w:name="_GoBack"/>
      <w:bookmarkEnd w:id="0"/>
    </w:p>
    <w:p w:rsidR="00B73BD2" w:rsidRDefault="00F00017" w:rsidP="00B73BD2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rekrytering av teknisk och administrativ personal </w:t>
      </w:r>
      <w:r w:rsidR="000F1E30">
        <w:rPr>
          <w:sz w:val="24"/>
          <w:szCs w:val="24"/>
          <w:lang w:val="sv-SE"/>
        </w:rPr>
        <w:t xml:space="preserve">hittar du </w:t>
      </w:r>
      <w:hyperlink r:id="rId9" w:history="1">
        <w:r w:rsidRPr="002F4DB9">
          <w:rPr>
            <w:rStyle w:val="Hyperlnk"/>
            <w:sz w:val="24"/>
            <w:szCs w:val="24"/>
            <w:lang w:val="sv-SE"/>
          </w:rPr>
          <w:t>här</w:t>
        </w:r>
      </w:hyperlink>
    </w:p>
    <w:p w:rsidR="00B73BD2" w:rsidRDefault="000F1E30" w:rsidP="00B73BD2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återgång i arbete </w:t>
      </w:r>
      <w:r w:rsidR="00B73BD2">
        <w:rPr>
          <w:sz w:val="24"/>
          <w:szCs w:val="24"/>
          <w:lang w:val="sv-SE"/>
        </w:rPr>
        <w:t xml:space="preserve">(rehabilitering) hittar du </w:t>
      </w:r>
      <w:hyperlink r:id="rId10" w:history="1">
        <w:r w:rsidR="00B73BD2" w:rsidRPr="00037187">
          <w:rPr>
            <w:rStyle w:val="Hyperlnk"/>
            <w:sz w:val="24"/>
            <w:szCs w:val="24"/>
            <w:lang w:val="sv-SE"/>
          </w:rPr>
          <w:t>här</w:t>
        </w:r>
      </w:hyperlink>
    </w:p>
    <w:p w:rsidR="00B73BD2" w:rsidRDefault="000F1E30" w:rsidP="00B73BD2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misstanke om ohälsa eller upprepad </w:t>
      </w:r>
      <w:r w:rsidR="00B73BD2">
        <w:rPr>
          <w:sz w:val="24"/>
          <w:szCs w:val="24"/>
          <w:lang w:val="sv-SE"/>
        </w:rPr>
        <w:t xml:space="preserve">korttidsfrånvaro hittar du </w:t>
      </w:r>
      <w:hyperlink r:id="rId11" w:history="1">
        <w:r w:rsidR="00B73BD2" w:rsidRPr="00037187">
          <w:rPr>
            <w:rStyle w:val="Hyperlnk"/>
            <w:sz w:val="24"/>
            <w:szCs w:val="24"/>
            <w:lang w:val="sv-SE"/>
          </w:rPr>
          <w:t>här</w:t>
        </w:r>
      </w:hyperlink>
    </w:p>
    <w:p w:rsidR="00B73BD2" w:rsidRDefault="00EA4591" w:rsidP="00B73BD2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hantering av konflikter, kränkande särbehandling och trakasserier</w:t>
      </w:r>
      <w:r w:rsidR="00037187">
        <w:rPr>
          <w:sz w:val="24"/>
          <w:szCs w:val="24"/>
          <w:lang w:val="sv-SE"/>
        </w:rPr>
        <w:t xml:space="preserve"> </w:t>
      </w:r>
      <w:r w:rsidR="00B73BD2">
        <w:rPr>
          <w:sz w:val="24"/>
          <w:szCs w:val="24"/>
          <w:lang w:val="sv-SE"/>
        </w:rPr>
        <w:t xml:space="preserve">hittar du </w:t>
      </w:r>
      <w:hyperlink r:id="rId12" w:history="1">
        <w:r w:rsidR="00B73BD2" w:rsidRPr="00037187">
          <w:rPr>
            <w:rStyle w:val="Hyperlnk"/>
            <w:sz w:val="24"/>
            <w:szCs w:val="24"/>
            <w:lang w:val="sv-SE"/>
          </w:rPr>
          <w:t>här</w:t>
        </w:r>
      </w:hyperlink>
    </w:p>
    <w:p w:rsidR="00B73BD2" w:rsidRDefault="00B73BD2" w:rsidP="00B73BD2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riskbedömning inför förändring i verksamheten hittar du </w:t>
      </w:r>
      <w:hyperlink r:id="rId13" w:history="1">
        <w:r w:rsidRPr="00037187">
          <w:rPr>
            <w:rStyle w:val="Hyperlnk"/>
            <w:sz w:val="24"/>
            <w:szCs w:val="24"/>
            <w:lang w:val="sv-SE"/>
          </w:rPr>
          <w:t>här</w:t>
        </w:r>
      </w:hyperlink>
    </w:p>
    <w:p w:rsidR="000F1E30" w:rsidRPr="004A380D" w:rsidRDefault="00B73BD2" w:rsidP="00B73BD2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ny organisatorisk placering (intern rörlighet) hittar du </w:t>
      </w:r>
      <w:hyperlink r:id="rId14" w:history="1">
        <w:r w:rsidRPr="00037187">
          <w:rPr>
            <w:rStyle w:val="Hyperlnk"/>
            <w:sz w:val="24"/>
            <w:szCs w:val="24"/>
            <w:lang w:val="sv-SE"/>
          </w:rPr>
          <w:t>här</w:t>
        </w:r>
      </w:hyperlink>
    </w:p>
    <w:p w:rsidR="00F00017" w:rsidRPr="004A380D" w:rsidRDefault="00F00017">
      <w:pPr>
        <w:pStyle w:val="Ingetavstnd"/>
        <w:rPr>
          <w:sz w:val="24"/>
          <w:szCs w:val="24"/>
          <w:lang w:val="sv-SE"/>
        </w:rPr>
      </w:pPr>
    </w:p>
    <w:sectPr w:rsidR="00F00017" w:rsidRPr="004A3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C8E"/>
    <w:multiLevelType w:val="hybridMultilevel"/>
    <w:tmpl w:val="38044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08EA"/>
    <w:multiLevelType w:val="hybridMultilevel"/>
    <w:tmpl w:val="5A165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4FB"/>
    <w:multiLevelType w:val="hybridMultilevel"/>
    <w:tmpl w:val="4274DBE0"/>
    <w:lvl w:ilvl="0" w:tplc="CBE8F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A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5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26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C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49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6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2D1ECD"/>
    <w:multiLevelType w:val="hybridMultilevel"/>
    <w:tmpl w:val="A25413B2"/>
    <w:lvl w:ilvl="0" w:tplc="EB2A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5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CB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E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2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2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561FCC"/>
    <w:multiLevelType w:val="hybridMultilevel"/>
    <w:tmpl w:val="32AA1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D"/>
    <w:rsid w:val="00037187"/>
    <w:rsid w:val="00083DEC"/>
    <w:rsid w:val="000F1E30"/>
    <w:rsid w:val="001062A5"/>
    <w:rsid w:val="0015510D"/>
    <w:rsid w:val="002F4DB9"/>
    <w:rsid w:val="004A380D"/>
    <w:rsid w:val="005816DB"/>
    <w:rsid w:val="007B06DF"/>
    <w:rsid w:val="007E4167"/>
    <w:rsid w:val="007F5B74"/>
    <w:rsid w:val="00852490"/>
    <w:rsid w:val="008F7A0C"/>
    <w:rsid w:val="00951DD4"/>
    <w:rsid w:val="00A93596"/>
    <w:rsid w:val="00B73BD2"/>
    <w:rsid w:val="00EA4591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96BC"/>
  <w15:chartTrackingRefBased/>
  <w15:docId w15:val="{8AF95B58-58CA-4BFD-8482-CD7D54B3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380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F7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holmqvist@uadm.uu.se" TargetMode="External"/><Relationship Id="rId13" Type="http://schemas.openxmlformats.org/officeDocument/2006/relationships/hyperlink" Target="https://mp.uu.se/c/perm/link?p=28216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ilia.arnqvist@uadm.uu.se" TargetMode="External"/><Relationship Id="rId12" Type="http://schemas.openxmlformats.org/officeDocument/2006/relationships/hyperlink" Target="https://mp.uu.se/c/perm/link?p=8789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ida.hedlund@uadm.uu.se" TargetMode="External"/><Relationship Id="rId11" Type="http://schemas.openxmlformats.org/officeDocument/2006/relationships/hyperlink" Target="https://mp.uu.se/c/perm/link?p=879032" TargetMode="External"/><Relationship Id="rId5" Type="http://schemas.openxmlformats.org/officeDocument/2006/relationships/hyperlink" Target="mailto:asa.furberg@uadm.uu.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p.uu.se/c/perm/link?p=102603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uu.se/c/perm/link?p=240803498" TargetMode="External"/><Relationship Id="rId14" Type="http://schemas.openxmlformats.org/officeDocument/2006/relationships/hyperlink" Target="https://mp.uu.se/c/perm/link?p=8783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Cederholm</dc:creator>
  <cp:keywords/>
  <dc:description/>
  <cp:lastModifiedBy>Annika Nittmar</cp:lastModifiedBy>
  <cp:revision>3</cp:revision>
  <dcterms:created xsi:type="dcterms:W3CDTF">2020-01-16T15:01:00Z</dcterms:created>
  <dcterms:modified xsi:type="dcterms:W3CDTF">2020-01-17T13:20:00Z</dcterms:modified>
</cp:coreProperties>
</file>