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8EC1" w14:textId="639BFFAB" w:rsidR="001E728F" w:rsidRPr="00EF6EBE" w:rsidRDefault="00234B2C" w:rsidP="00CE3EBE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Import och användnings register </w:t>
      </w:r>
      <w:r w:rsidRPr="00234B2C">
        <w:rPr>
          <w:b/>
          <w:sz w:val="32"/>
        </w:rPr>
        <w:t xml:space="preserve">av </w:t>
      </w:r>
      <w:r>
        <w:rPr>
          <w:b/>
          <w:sz w:val="32"/>
        </w:rPr>
        <w:t xml:space="preserve">icke </w:t>
      </w:r>
      <w:r w:rsidRPr="00234B2C">
        <w:rPr>
          <w:b/>
          <w:sz w:val="32"/>
        </w:rPr>
        <w:t>human-patogena biologiska prover* för forskning och utbildning</w:t>
      </w:r>
    </w:p>
    <w:p w14:paraId="2FF34F71" w14:textId="77777777" w:rsidR="00646177" w:rsidRDefault="00646177" w:rsidP="006C3648">
      <w:pPr>
        <w:spacing w:after="0"/>
      </w:pPr>
    </w:p>
    <w:p w14:paraId="2FAAB6E6" w14:textId="3BB34D92" w:rsidR="002751B2" w:rsidRDefault="00DF4F0B" w:rsidP="002751B2">
      <w:pPr>
        <w:spacing w:after="0"/>
        <w:ind w:firstLine="170"/>
      </w:pPr>
      <w:r>
        <w:t>Tillstånd för i</w:t>
      </w:r>
      <w:r w:rsidR="00D27855">
        <w:t xml:space="preserve">mport </w:t>
      </w:r>
      <w:r w:rsidR="00A66361">
        <w:t xml:space="preserve">och användning </w:t>
      </w:r>
      <w:r w:rsidR="00D27855">
        <w:t xml:space="preserve">av </w:t>
      </w:r>
      <w:r w:rsidR="00234B2C">
        <w:t xml:space="preserve">icke </w:t>
      </w:r>
      <w:r w:rsidR="00F72873">
        <w:t xml:space="preserve">human-patogena </w:t>
      </w:r>
      <w:r w:rsidR="00D27855">
        <w:t>biologiska prover</w:t>
      </w:r>
      <w:r w:rsidR="000E7F7D">
        <w:t>*</w:t>
      </w:r>
      <w:r w:rsidR="00D27855">
        <w:t xml:space="preserve"> för forskning och utbildning ha</w:t>
      </w:r>
      <w:r w:rsidR="00AF7EAA">
        <w:t>nteras ofta</w:t>
      </w:r>
      <w:r w:rsidR="002751B2">
        <w:t>st</w:t>
      </w:r>
      <w:r w:rsidR="00AF7EAA">
        <w:t xml:space="preserve"> av Jordbruksverket. F</w:t>
      </w:r>
      <w:r w:rsidR="00D27855">
        <w:t xml:space="preserve">ör att minska administrationen för enskilda forskningsgrupper </w:t>
      </w:r>
      <w:r w:rsidR="008F7DE5">
        <w:t>har Uppsala universitet ett samlingstillstånd för import och användning av biologiska prover</w:t>
      </w:r>
      <w:r w:rsidR="00D27855">
        <w:t xml:space="preserve"> för forskning och undervisning</w:t>
      </w:r>
      <w:r w:rsidR="00AF7EAA">
        <w:t xml:space="preserve"> från Jordbruksverket</w:t>
      </w:r>
      <w:r w:rsidR="002751B2">
        <w:t>.</w:t>
      </w:r>
    </w:p>
    <w:p w14:paraId="243B66E9" w14:textId="4F7EB3EA" w:rsidR="00F31ED7" w:rsidRDefault="008F7DE5" w:rsidP="002751B2">
      <w:pPr>
        <w:spacing w:after="0"/>
        <w:ind w:firstLine="170"/>
      </w:pPr>
      <w:r>
        <w:t>De olika forskningsgrupperna behöver alltså inte själva ansöka om dessa tillstånd från Jordbruksverket</w:t>
      </w:r>
      <w:r w:rsidR="00EE32A0">
        <w:t>,</w:t>
      </w:r>
      <w:r>
        <w:t xml:space="preserve"> utan fyller i bifogat formulär och mejlar till </w:t>
      </w:r>
      <w:hyperlink r:id="rId4" w:history="1">
        <w:r w:rsidR="0029066F" w:rsidRPr="00D44176">
          <w:rPr>
            <w:rStyle w:val="Hyperlink"/>
          </w:rPr>
          <w:t>biosakerhet@uadm.uu.se</w:t>
        </w:r>
      </w:hyperlink>
      <w:r w:rsidR="002751B2">
        <w:t xml:space="preserve"> innan import</w:t>
      </w:r>
      <w:r w:rsidR="00F372C8">
        <w:t>/användning</w:t>
      </w:r>
      <w:r w:rsidR="006729E1">
        <w:t xml:space="preserve">. Forskargruppen får sedan ett internt tillstånd av biosäkerhetssamordnaren och det tillståndsnummer som ibland krävs av leverantörerna innan de skickar er beställning. </w:t>
      </w:r>
      <w:r w:rsidR="0029066F">
        <w:t xml:space="preserve">Universitetet skickar sedan halvårsvis in en </w:t>
      </w:r>
      <w:r w:rsidR="00D27855">
        <w:t xml:space="preserve">central </w:t>
      </w:r>
      <w:r w:rsidR="0029066F">
        <w:t>sammanställning till Jordbruksverket</w:t>
      </w:r>
      <w:r w:rsidR="006729E1">
        <w:t>.</w:t>
      </w:r>
    </w:p>
    <w:p w14:paraId="30EF0F76" w14:textId="74804FA5" w:rsidR="008A7FB8" w:rsidRPr="00F13D70" w:rsidRDefault="00675F4A" w:rsidP="00F13D70">
      <w:pPr>
        <w:spacing w:after="0" w:line="240" w:lineRule="auto"/>
        <w:rPr>
          <w:sz w:val="16"/>
          <w:szCs w:val="16"/>
        </w:rPr>
      </w:pPr>
      <w:r>
        <w:t>*</w:t>
      </w:r>
      <w:r w:rsidR="002751B2">
        <w:tab/>
      </w:r>
      <w:r w:rsidR="00365F22">
        <w:rPr>
          <w:sz w:val="16"/>
          <w:szCs w:val="16"/>
        </w:rPr>
        <w:t xml:space="preserve">- </w:t>
      </w:r>
      <w:r w:rsidR="00F13D70">
        <w:rPr>
          <w:sz w:val="16"/>
          <w:szCs w:val="16"/>
        </w:rPr>
        <w:t>A</w:t>
      </w:r>
      <w:r w:rsidR="00F13D70" w:rsidRPr="00F13D70">
        <w:rPr>
          <w:sz w:val="16"/>
          <w:szCs w:val="16"/>
        </w:rPr>
        <w:t>nimaliska biprodukter</w:t>
      </w:r>
    </w:p>
    <w:p w14:paraId="70680770" w14:textId="3DE3EDAE" w:rsidR="00365F22" w:rsidRDefault="00365F22" w:rsidP="007633B0">
      <w:pPr>
        <w:spacing w:after="0" w:line="240" w:lineRule="auto"/>
        <w:ind w:firstLine="17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EC19BA">
        <w:rPr>
          <w:sz w:val="16"/>
          <w:szCs w:val="16"/>
        </w:rPr>
        <w:t>D</w:t>
      </w:r>
      <w:r w:rsidR="00B94934" w:rsidRPr="00236F84">
        <w:rPr>
          <w:sz w:val="16"/>
          <w:szCs w:val="16"/>
        </w:rPr>
        <w:t>öda växter eller</w:t>
      </w:r>
      <w:r w:rsidR="00D10505" w:rsidRPr="00236F84">
        <w:rPr>
          <w:sz w:val="16"/>
          <w:szCs w:val="16"/>
        </w:rPr>
        <w:t xml:space="preserve"> lägre</w:t>
      </w:r>
      <w:r w:rsidR="00B94934" w:rsidRPr="00236F84">
        <w:rPr>
          <w:sz w:val="16"/>
          <w:szCs w:val="16"/>
        </w:rPr>
        <w:t xml:space="preserve"> animalier </w:t>
      </w:r>
      <w:r w:rsidR="00D9080A">
        <w:rPr>
          <w:sz w:val="16"/>
          <w:szCs w:val="16"/>
        </w:rPr>
        <w:t xml:space="preserve">som ej </w:t>
      </w:r>
      <w:bookmarkStart w:id="0" w:name="_GoBack"/>
      <w:bookmarkEnd w:id="0"/>
      <w:r w:rsidR="009E18CB">
        <w:rPr>
          <w:sz w:val="16"/>
          <w:szCs w:val="16"/>
        </w:rPr>
        <w:t>är utrotningshotade</w:t>
      </w:r>
    </w:p>
    <w:p w14:paraId="79185580" w14:textId="30AE0984" w:rsidR="00F6179E" w:rsidRPr="006D0C26" w:rsidRDefault="00365F22" w:rsidP="007633B0">
      <w:pPr>
        <w:spacing w:after="0" w:line="240" w:lineRule="auto"/>
        <w:ind w:firstLine="17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F86F01">
        <w:rPr>
          <w:sz w:val="16"/>
          <w:szCs w:val="16"/>
        </w:rPr>
        <w:t xml:space="preserve">OBS. </w:t>
      </w:r>
      <w:r w:rsidR="00DB45AC">
        <w:rPr>
          <w:sz w:val="16"/>
          <w:szCs w:val="16"/>
        </w:rPr>
        <w:t>H</w:t>
      </w:r>
      <w:r w:rsidR="008F4E2E">
        <w:rPr>
          <w:sz w:val="16"/>
          <w:szCs w:val="16"/>
        </w:rPr>
        <w:t>uman</w:t>
      </w:r>
      <w:r w:rsidR="007633B0">
        <w:rPr>
          <w:sz w:val="16"/>
          <w:szCs w:val="16"/>
        </w:rPr>
        <w:t>-</w:t>
      </w:r>
      <w:r w:rsidR="00F86F01">
        <w:rPr>
          <w:sz w:val="16"/>
          <w:szCs w:val="16"/>
        </w:rPr>
        <w:t xml:space="preserve">patogener </w:t>
      </w:r>
      <w:r w:rsidR="00DB45AC">
        <w:rPr>
          <w:sz w:val="16"/>
          <w:szCs w:val="16"/>
        </w:rPr>
        <w:t xml:space="preserve">behöver ej registreras här </w:t>
      </w:r>
      <w:r w:rsidR="00F86F01">
        <w:rPr>
          <w:sz w:val="16"/>
          <w:szCs w:val="16"/>
        </w:rPr>
        <w:t>då i</w:t>
      </w:r>
      <w:r w:rsidR="006C3648" w:rsidRPr="006D0C26">
        <w:rPr>
          <w:sz w:val="16"/>
          <w:szCs w:val="16"/>
        </w:rPr>
        <w:t xml:space="preserve">mporttillstånd för </w:t>
      </w:r>
      <w:r w:rsidR="00F86F01">
        <w:rPr>
          <w:sz w:val="16"/>
          <w:szCs w:val="16"/>
        </w:rPr>
        <w:t xml:space="preserve">dessa </w:t>
      </w:r>
      <w:r w:rsidR="006C3648" w:rsidRPr="006D0C26">
        <w:rPr>
          <w:sz w:val="16"/>
          <w:szCs w:val="16"/>
        </w:rPr>
        <w:t xml:space="preserve">ingår </w:t>
      </w:r>
      <w:r w:rsidR="00F86F01">
        <w:rPr>
          <w:sz w:val="16"/>
          <w:szCs w:val="16"/>
        </w:rPr>
        <w:t xml:space="preserve">i </w:t>
      </w:r>
      <w:r w:rsidR="006D0C26">
        <w:rPr>
          <w:sz w:val="16"/>
          <w:szCs w:val="16"/>
        </w:rPr>
        <w:t xml:space="preserve">godkänd </w:t>
      </w:r>
      <w:r w:rsidR="006C3648" w:rsidRPr="006D0C26">
        <w:rPr>
          <w:sz w:val="16"/>
          <w:szCs w:val="16"/>
        </w:rPr>
        <w:t>anmälan</w:t>
      </w:r>
      <w:r w:rsidR="00B808F2">
        <w:rPr>
          <w:sz w:val="16"/>
          <w:szCs w:val="16"/>
        </w:rPr>
        <w:t xml:space="preserve"> av arbete med smittämnet till A</w:t>
      </w:r>
      <w:r w:rsidR="006C3648" w:rsidRPr="006D0C26">
        <w:rPr>
          <w:sz w:val="16"/>
          <w:szCs w:val="16"/>
        </w:rPr>
        <w:t>rbetsmiljöverk</w:t>
      </w:r>
      <w:r w:rsidR="00542469">
        <w:rPr>
          <w:sz w:val="16"/>
          <w:szCs w:val="16"/>
        </w:rPr>
        <w:t>et</w:t>
      </w:r>
    </w:p>
    <w:p w14:paraId="35950E48" w14:textId="77777777" w:rsidR="006C3648" w:rsidRDefault="006C3648" w:rsidP="006C3648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8"/>
        <w:gridCol w:w="1675"/>
        <w:gridCol w:w="1711"/>
        <w:gridCol w:w="1674"/>
        <w:gridCol w:w="1680"/>
        <w:gridCol w:w="1677"/>
        <w:gridCol w:w="1754"/>
        <w:gridCol w:w="1754"/>
        <w:gridCol w:w="1785"/>
      </w:tblGrid>
      <w:tr w:rsidR="008F4E2E" w14:paraId="7F908FDC" w14:textId="77777777" w:rsidTr="008F4E2E">
        <w:tc>
          <w:tcPr>
            <w:tcW w:w="545" w:type="pct"/>
          </w:tcPr>
          <w:p w14:paraId="3251A085" w14:textId="77777777" w:rsidR="008F4E2E" w:rsidRDefault="008F4E2E" w:rsidP="00D27855">
            <w:r>
              <w:t>Institution</w:t>
            </w:r>
          </w:p>
        </w:tc>
        <w:tc>
          <w:tcPr>
            <w:tcW w:w="544" w:type="pct"/>
          </w:tcPr>
          <w:p w14:paraId="0087E949" w14:textId="77777777" w:rsidR="008F4E2E" w:rsidRDefault="008F4E2E" w:rsidP="00D27855">
            <w:r>
              <w:t>Grupp</w:t>
            </w:r>
          </w:p>
        </w:tc>
        <w:tc>
          <w:tcPr>
            <w:tcW w:w="556" w:type="pct"/>
          </w:tcPr>
          <w:p w14:paraId="790D3643" w14:textId="77777777" w:rsidR="008F4E2E" w:rsidRDefault="008F4E2E" w:rsidP="00D27855">
            <w:r>
              <w:t>Kontaktperson</w:t>
            </w:r>
          </w:p>
        </w:tc>
        <w:tc>
          <w:tcPr>
            <w:tcW w:w="544" w:type="pct"/>
          </w:tcPr>
          <w:p w14:paraId="0AE790A5" w14:textId="53540173" w:rsidR="008F4E2E" w:rsidRDefault="008F4E2E" w:rsidP="00D27855">
            <w:r>
              <w:t>Prov</w:t>
            </w:r>
            <w:r w:rsidR="000C3517">
              <w:t xml:space="preserve"> (art, stam,  produkt eller motsvarande)  och </w:t>
            </w:r>
            <w:r>
              <w:t>mängd</w:t>
            </w:r>
          </w:p>
        </w:tc>
        <w:tc>
          <w:tcPr>
            <w:tcW w:w="546" w:type="pct"/>
          </w:tcPr>
          <w:p w14:paraId="70A4C2F6" w14:textId="77777777" w:rsidR="008F4E2E" w:rsidRDefault="008F4E2E" w:rsidP="00D27855">
            <w:r>
              <w:t>Datum för införsel</w:t>
            </w:r>
          </w:p>
        </w:tc>
        <w:tc>
          <w:tcPr>
            <w:tcW w:w="545" w:type="pct"/>
          </w:tcPr>
          <w:p w14:paraId="7BD839F8" w14:textId="77777777" w:rsidR="008F4E2E" w:rsidRDefault="008F4E2E" w:rsidP="00D27855">
            <w:r>
              <w:t>Från vilket land</w:t>
            </w:r>
          </w:p>
        </w:tc>
        <w:tc>
          <w:tcPr>
            <w:tcW w:w="570" w:type="pct"/>
          </w:tcPr>
          <w:p w14:paraId="3134E0CC" w14:textId="77777777" w:rsidR="008F4E2E" w:rsidRDefault="008F4E2E" w:rsidP="00D27855">
            <w:r>
              <w:t>Översiktlig beskrivning av arbetet</w:t>
            </w:r>
          </w:p>
        </w:tc>
        <w:tc>
          <w:tcPr>
            <w:tcW w:w="570" w:type="pct"/>
          </w:tcPr>
          <w:p w14:paraId="346A213B" w14:textId="11DA01E5" w:rsidR="008F4E2E" w:rsidRDefault="008F4E2E" w:rsidP="002751B2">
            <w:r>
              <w:t>Kan provet innebära fara för miljö eller människa</w:t>
            </w:r>
            <w:r w:rsidR="006D4179">
              <w:t>, t.ex. som smitta eller invasiv art</w:t>
            </w:r>
            <w:r>
              <w:t>? Om ja</w:t>
            </w:r>
            <w:r w:rsidR="007633B0">
              <w:t>,</w:t>
            </w:r>
            <w:r>
              <w:t xml:space="preserve"> specificera</w:t>
            </w:r>
          </w:p>
        </w:tc>
        <w:tc>
          <w:tcPr>
            <w:tcW w:w="580" w:type="pct"/>
          </w:tcPr>
          <w:p w14:paraId="6689A607" w14:textId="70BC8144" w:rsidR="008F4E2E" w:rsidRDefault="008F4E2E" w:rsidP="002751B2">
            <w:r>
              <w:t>Skyddsåtgärder</w:t>
            </w:r>
            <w:r w:rsidR="00651BA8">
              <w:t>, inklusive avfallshantering</w:t>
            </w:r>
          </w:p>
        </w:tc>
      </w:tr>
      <w:tr w:rsidR="008F4E2E" w14:paraId="0FDE039F" w14:textId="77777777" w:rsidTr="008F4E2E">
        <w:tc>
          <w:tcPr>
            <w:tcW w:w="545" w:type="pct"/>
          </w:tcPr>
          <w:p w14:paraId="67EBDCA9" w14:textId="77777777" w:rsidR="008F4E2E" w:rsidRDefault="008F4E2E" w:rsidP="00D27855"/>
        </w:tc>
        <w:tc>
          <w:tcPr>
            <w:tcW w:w="544" w:type="pct"/>
          </w:tcPr>
          <w:p w14:paraId="5E7D3568" w14:textId="77777777" w:rsidR="008F4E2E" w:rsidRDefault="008F4E2E" w:rsidP="00D27855"/>
        </w:tc>
        <w:tc>
          <w:tcPr>
            <w:tcW w:w="556" w:type="pct"/>
          </w:tcPr>
          <w:p w14:paraId="0476B3D9" w14:textId="77777777" w:rsidR="008F4E2E" w:rsidRDefault="008F4E2E" w:rsidP="00D27855"/>
        </w:tc>
        <w:tc>
          <w:tcPr>
            <w:tcW w:w="544" w:type="pct"/>
          </w:tcPr>
          <w:p w14:paraId="58DE2FDF" w14:textId="77777777" w:rsidR="008F4E2E" w:rsidRDefault="008F4E2E" w:rsidP="00D27855"/>
        </w:tc>
        <w:tc>
          <w:tcPr>
            <w:tcW w:w="546" w:type="pct"/>
          </w:tcPr>
          <w:p w14:paraId="5EDF6603" w14:textId="77777777" w:rsidR="008F4E2E" w:rsidRDefault="008F4E2E" w:rsidP="00D27855"/>
        </w:tc>
        <w:tc>
          <w:tcPr>
            <w:tcW w:w="545" w:type="pct"/>
          </w:tcPr>
          <w:p w14:paraId="3B595F6D" w14:textId="77777777" w:rsidR="008F4E2E" w:rsidRDefault="008F4E2E" w:rsidP="00D27855"/>
        </w:tc>
        <w:tc>
          <w:tcPr>
            <w:tcW w:w="570" w:type="pct"/>
          </w:tcPr>
          <w:p w14:paraId="6EAEA65F" w14:textId="77777777" w:rsidR="008F4E2E" w:rsidRDefault="008F4E2E" w:rsidP="00D27855"/>
        </w:tc>
        <w:tc>
          <w:tcPr>
            <w:tcW w:w="570" w:type="pct"/>
          </w:tcPr>
          <w:p w14:paraId="3D31792E" w14:textId="77777777" w:rsidR="008F4E2E" w:rsidRDefault="008F4E2E" w:rsidP="00D27855"/>
        </w:tc>
        <w:tc>
          <w:tcPr>
            <w:tcW w:w="580" w:type="pct"/>
          </w:tcPr>
          <w:p w14:paraId="2E02BE7E" w14:textId="77777777" w:rsidR="008F4E2E" w:rsidRDefault="008F4E2E" w:rsidP="00D27855"/>
        </w:tc>
      </w:tr>
      <w:tr w:rsidR="008F4E2E" w14:paraId="213E6A23" w14:textId="77777777" w:rsidTr="008F4E2E">
        <w:tc>
          <w:tcPr>
            <w:tcW w:w="545" w:type="pct"/>
          </w:tcPr>
          <w:p w14:paraId="533DA2F5" w14:textId="77777777" w:rsidR="008F4E2E" w:rsidRDefault="008F4E2E" w:rsidP="00D27855"/>
        </w:tc>
        <w:tc>
          <w:tcPr>
            <w:tcW w:w="544" w:type="pct"/>
          </w:tcPr>
          <w:p w14:paraId="7EA173AE" w14:textId="77777777" w:rsidR="008F4E2E" w:rsidRDefault="008F4E2E" w:rsidP="00D27855"/>
        </w:tc>
        <w:tc>
          <w:tcPr>
            <w:tcW w:w="556" w:type="pct"/>
          </w:tcPr>
          <w:p w14:paraId="12DFE2E2" w14:textId="77777777" w:rsidR="008F4E2E" w:rsidRDefault="008F4E2E" w:rsidP="00D27855"/>
        </w:tc>
        <w:tc>
          <w:tcPr>
            <w:tcW w:w="544" w:type="pct"/>
          </w:tcPr>
          <w:p w14:paraId="320FB791" w14:textId="77777777" w:rsidR="008F4E2E" w:rsidRDefault="008F4E2E" w:rsidP="00D27855"/>
        </w:tc>
        <w:tc>
          <w:tcPr>
            <w:tcW w:w="546" w:type="pct"/>
          </w:tcPr>
          <w:p w14:paraId="200209BF" w14:textId="77777777" w:rsidR="008F4E2E" w:rsidRDefault="008F4E2E" w:rsidP="00D27855"/>
        </w:tc>
        <w:tc>
          <w:tcPr>
            <w:tcW w:w="545" w:type="pct"/>
          </w:tcPr>
          <w:p w14:paraId="093CB696" w14:textId="77777777" w:rsidR="008F4E2E" w:rsidRDefault="008F4E2E" w:rsidP="00D27855"/>
        </w:tc>
        <w:tc>
          <w:tcPr>
            <w:tcW w:w="570" w:type="pct"/>
          </w:tcPr>
          <w:p w14:paraId="793555EE" w14:textId="77777777" w:rsidR="008F4E2E" w:rsidRDefault="008F4E2E" w:rsidP="00D27855"/>
        </w:tc>
        <w:tc>
          <w:tcPr>
            <w:tcW w:w="570" w:type="pct"/>
          </w:tcPr>
          <w:p w14:paraId="0E2E8992" w14:textId="77777777" w:rsidR="008F4E2E" w:rsidRDefault="008F4E2E" w:rsidP="00D27855"/>
        </w:tc>
        <w:tc>
          <w:tcPr>
            <w:tcW w:w="580" w:type="pct"/>
          </w:tcPr>
          <w:p w14:paraId="2A604E21" w14:textId="77777777" w:rsidR="008F4E2E" w:rsidRDefault="008F4E2E" w:rsidP="00D27855"/>
        </w:tc>
      </w:tr>
      <w:tr w:rsidR="008F4E2E" w14:paraId="5A794166" w14:textId="77777777" w:rsidTr="008F4E2E">
        <w:tc>
          <w:tcPr>
            <w:tcW w:w="545" w:type="pct"/>
          </w:tcPr>
          <w:p w14:paraId="727A7C5B" w14:textId="77777777" w:rsidR="008F4E2E" w:rsidRDefault="008F4E2E" w:rsidP="00D27855"/>
        </w:tc>
        <w:tc>
          <w:tcPr>
            <w:tcW w:w="544" w:type="pct"/>
          </w:tcPr>
          <w:p w14:paraId="60019F60" w14:textId="77777777" w:rsidR="008F4E2E" w:rsidRDefault="008F4E2E" w:rsidP="00D27855"/>
        </w:tc>
        <w:tc>
          <w:tcPr>
            <w:tcW w:w="556" w:type="pct"/>
          </w:tcPr>
          <w:p w14:paraId="394C0A81" w14:textId="77777777" w:rsidR="008F4E2E" w:rsidRDefault="008F4E2E" w:rsidP="00D27855"/>
        </w:tc>
        <w:tc>
          <w:tcPr>
            <w:tcW w:w="544" w:type="pct"/>
          </w:tcPr>
          <w:p w14:paraId="353BCE88" w14:textId="77777777" w:rsidR="008F4E2E" w:rsidRDefault="008F4E2E" w:rsidP="00D27855"/>
        </w:tc>
        <w:tc>
          <w:tcPr>
            <w:tcW w:w="546" w:type="pct"/>
          </w:tcPr>
          <w:p w14:paraId="526EFED0" w14:textId="77777777" w:rsidR="008F4E2E" w:rsidRDefault="008F4E2E" w:rsidP="00D27855"/>
        </w:tc>
        <w:tc>
          <w:tcPr>
            <w:tcW w:w="545" w:type="pct"/>
          </w:tcPr>
          <w:p w14:paraId="07324F60" w14:textId="77777777" w:rsidR="008F4E2E" w:rsidRDefault="008F4E2E" w:rsidP="00D27855"/>
        </w:tc>
        <w:tc>
          <w:tcPr>
            <w:tcW w:w="570" w:type="pct"/>
          </w:tcPr>
          <w:p w14:paraId="301BD93D" w14:textId="77777777" w:rsidR="008F4E2E" w:rsidRDefault="008F4E2E" w:rsidP="00D27855"/>
        </w:tc>
        <w:tc>
          <w:tcPr>
            <w:tcW w:w="570" w:type="pct"/>
          </w:tcPr>
          <w:p w14:paraId="3769B7F3" w14:textId="77777777" w:rsidR="008F4E2E" w:rsidRDefault="008F4E2E" w:rsidP="00D27855"/>
        </w:tc>
        <w:tc>
          <w:tcPr>
            <w:tcW w:w="580" w:type="pct"/>
          </w:tcPr>
          <w:p w14:paraId="6DC2C75B" w14:textId="77777777" w:rsidR="008F4E2E" w:rsidRDefault="008F4E2E" w:rsidP="00D27855"/>
        </w:tc>
      </w:tr>
      <w:tr w:rsidR="008F4E2E" w14:paraId="6E6748B9" w14:textId="77777777" w:rsidTr="008F4E2E">
        <w:tc>
          <w:tcPr>
            <w:tcW w:w="545" w:type="pct"/>
          </w:tcPr>
          <w:p w14:paraId="78CEDD7D" w14:textId="77777777" w:rsidR="008F4E2E" w:rsidRDefault="008F4E2E" w:rsidP="00D27855"/>
        </w:tc>
        <w:tc>
          <w:tcPr>
            <w:tcW w:w="544" w:type="pct"/>
          </w:tcPr>
          <w:p w14:paraId="3313F2C8" w14:textId="77777777" w:rsidR="008F4E2E" w:rsidRDefault="008F4E2E" w:rsidP="00D27855"/>
        </w:tc>
        <w:tc>
          <w:tcPr>
            <w:tcW w:w="556" w:type="pct"/>
          </w:tcPr>
          <w:p w14:paraId="1F55AB90" w14:textId="77777777" w:rsidR="008F4E2E" w:rsidRDefault="008F4E2E" w:rsidP="00D27855"/>
        </w:tc>
        <w:tc>
          <w:tcPr>
            <w:tcW w:w="544" w:type="pct"/>
          </w:tcPr>
          <w:p w14:paraId="34A3830A" w14:textId="77777777" w:rsidR="008F4E2E" w:rsidRDefault="008F4E2E" w:rsidP="00D27855"/>
        </w:tc>
        <w:tc>
          <w:tcPr>
            <w:tcW w:w="546" w:type="pct"/>
          </w:tcPr>
          <w:p w14:paraId="7FE6D44C" w14:textId="77777777" w:rsidR="008F4E2E" w:rsidRDefault="008F4E2E" w:rsidP="00D27855"/>
        </w:tc>
        <w:tc>
          <w:tcPr>
            <w:tcW w:w="545" w:type="pct"/>
          </w:tcPr>
          <w:p w14:paraId="556B5441" w14:textId="77777777" w:rsidR="008F4E2E" w:rsidRDefault="008F4E2E" w:rsidP="00D27855"/>
        </w:tc>
        <w:tc>
          <w:tcPr>
            <w:tcW w:w="570" w:type="pct"/>
          </w:tcPr>
          <w:p w14:paraId="118C2A24" w14:textId="77777777" w:rsidR="008F4E2E" w:rsidRDefault="008F4E2E" w:rsidP="00D27855"/>
        </w:tc>
        <w:tc>
          <w:tcPr>
            <w:tcW w:w="570" w:type="pct"/>
          </w:tcPr>
          <w:p w14:paraId="49396977" w14:textId="77777777" w:rsidR="008F4E2E" w:rsidRDefault="008F4E2E" w:rsidP="00D27855"/>
        </w:tc>
        <w:tc>
          <w:tcPr>
            <w:tcW w:w="580" w:type="pct"/>
          </w:tcPr>
          <w:p w14:paraId="3A8FD186" w14:textId="77777777" w:rsidR="008F4E2E" w:rsidRDefault="008F4E2E" w:rsidP="00D27855"/>
        </w:tc>
      </w:tr>
    </w:tbl>
    <w:p w14:paraId="0B5DC910" w14:textId="77777777" w:rsidR="006D0C26" w:rsidRDefault="006D0C26" w:rsidP="006C3648">
      <w:pPr>
        <w:spacing w:after="0"/>
      </w:pPr>
    </w:p>
    <w:sectPr w:rsidR="006D0C26" w:rsidSect="006D0C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E"/>
    <w:rsid w:val="000179F3"/>
    <w:rsid w:val="000C3517"/>
    <w:rsid w:val="000E7F7D"/>
    <w:rsid w:val="00132A81"/>
    <w:rsid w:val="00177AA0"/>
    <w:rsid w:val="001B2291"/>
    <w:rsid w:val="001E728F"/>
    <w:rsid w:val="00234B2C"/>
    <w:rsid w:val="00236E3B"/>
    <w:rsid w:val="00236F84"/>
    <w:rsid w:val="002751B2"/>
    <w:rsid w:val="0029066F"/>
    <w:rsid w:val="003502D8"/>
    <w:rsid w:val="00365F22"/>
    <w:rsid w:val="00405E24"/>
    <w:rsid w:val="004E6AA7"/>
    <w:rsid w:val="00542469"/>
    <w:rsid w:val="00646177"/>
    <w:rsid w:val="00651BA8"/>
    <w:rsid w:val="006729E1"/>
    <w:rsid w:val="00675F4A"/>
    <w:rsid w:val="006C3648"/>
    <w:rsid w:val="006D0C26"/>
    <w:rsid w:val="006D3DA6"/>
    <w:rsid w:val="006D4179"/>
    <w:rsid w:val="007633B0"/>
    <w:rsid w:val="007B5A6A"/>
    <w:rsid w:val="008A7FB8"/>
    <w:rsid w:val="008F4E2E"/>
    <w:rsid w:val="008F7DE5"/>
    <w:rsid w:val="009605D9"/>
    <w:rsid w:val="009E18CB"/>
    <w:rsid w:val="00A66361"/>
    <w:rsid w:val="00AF7EAA"/>
    <w:rsid w:val="00B357A6"/>
    <w:rsid w:val="00B70DC0"/>
    <w:rsid w:val="00B808F2"/>
    <w:rsid w:val="00B94934"/>
    <w:rsid w:val="00C36B4A"/>
    <w:rsid w:val="00C430E7"/>
    <w:rsid w:val="00CE3EBE"/>
    <w:rsid w:val="00D10505"/>
    <w:rsid w:val="00D23DB0"/>
    <w:rsid w:val="00D27855"/>
    <w:rsid w:val="00D9080A"/>
    <w:rsid w:val="00D93DB4"/>
    <w:rsid w:val="00DB45AC"/>
    <w:rsid w:val="00DF4F0B"/>
    <w:rsid w:val="00E654E8"/>
    <w:rsid w:val="00EA0273"/>
    <w:rsid w:val="00EB02A2"/>
    <w:rsid w:val="00EC19BA"/>
    <w:rsid w:val="00EE32A0"/>
    <w:rsid w:val="00EE6E9A"/>
    <w:rsid w:val="00EF491D"/>
    <w:rsid w:val="00EF6EBE"/>
    <w:rsid w:val="00F13D70"/>
    <w:rsid w:val="00F162EC"/>
    <w:rsid w:val="00F26388"/>
    <w:rsid w:val="00F31ED7"/>
    <w:rsid w:val="00F372C8"/>
    <w:rsid w:val="00F6179E"/>
    <w:rsid w:val="00F72873"/>
    <w:rsid w:val="00F8018C"/>
    <w:rsid w:val="00F86F01"/>
    <w:rsid w:val="00F96738"/>
    <w:rsid w:val="00FB5534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7D5B"/>
  <w15:chartTrackingRefBased/>
  <w15:docId w15:val="{B57F5DAE-D79D-407D-A4CD-3FB4DBC1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9E"/>
    <w:pPr>
      <w:ind w:left="720"/>
      <w:contextualSpacing/>
    </w:pPr>
  </w:style>
  <w:style w:type="table" w:styleId="TableGrid">
    <w:name w:val="Table Grid"/>
    <w:basedOn w:val="TableNormal"/>
    <w:uiPriority w:val="39"/>
    <w:rsid w:val="006D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6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0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sakerhet@uadm.u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Gradstedt</dc:creator>
  <cp:keywords/>
  <dc:description/>
  <cp:lastModifiedBy>Henrik Gradstedt</cp:lastModifiedBy>
  <cp:revision>2</cp:revision>
  <dcterms:created xsi:type="dcterms:W3CDTF">2018-11-06T07:00:00Z</dcterms:created>
  <dcterms:modified xsi:type="dcterms:W3CDTF">2018-11-06T07:00:00Z</dcterms:modified>
</cp:coreProperties>
</file>